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4DBE" w:rsidRDefault="00551271" w:rsidP="00DD4DBE">
      <w:pPr>
        <w:pStyle w:val="NormaleWeb"/>
        <w:rPr>
          <w:rFonts w:ascii="Arial" w:hAnsi="Arial" w:cs="Arial"/>
          <w:b/>
          <w:bCs/>
          <w:u w:val="single"/>
        </w:rPr>
      </w:pPr>
      <w:r w:rsidRPr="00DD4DBE">
        <w:rPr>
          <w:rFonts w:ascii="Arial" w:hAnsi="Arial" w:cs="Arial"/>
          <w:b/>
          <w:bCs/>
          <w:noProof/>
        </w:rPr>
        <w:drawing>
          <wp:inline distT="0" distB="0" distL="0" distR="0" wp14:anchorId="656179B2" wp14:editId="678686E4">
            <wp:extent cx="1220310" cy="1015299"/>
            <wp:effectExtent l="0" t="0" r="0" b="0"/>
            <wp:docPr id="2" name="Immagine 2" descr="C:\Users\a264312\Desktop\LOGO SOG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264312\Desktop\LOGO SOGIN.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28855" cy="1022408"/>
                    </a:xfrm>
                    <a:prstGeom prst="rect">
                      <a:avLst/>
                    </a:prstGeom>
                    <a:noFill/>
                    <a:ln>
                      <a:noFill/>
                    </a:ln>
                  </pic:spPr>
                </pic:pic>
              </a:graphicData>
            </a:graphic>
          </wp:inline>
        </w:drawing>
      </w:r>
      <w:r w:rsidR="00440E33" w:rsidRPr="00DD4DBE">
        <w:rPr>
          <w:rFonts w:ascii="Arial" w:hAnsi="Arial" w:cs="Arial"/>
          <w:b/>
          <w:bCs/>
          <w:u w:val="single"/>
        </w:rPr>
        <w:t xml:space="preserve">ISTRUZIONI PER </w:t>
      </w:r>
      <w:r w:rsidR="00884E17" w:rsidRPr="00DD4DBE">
        <w:rPr>
          <w:rFonts w:ascii="Arial" w:hAnsi="Arial" w:cs="Arial"/>
          <w:b/>
          <w:bCs/>
          <w:u w:val="single"/>
        </w:rPr>
        <w:t xml:space="preserve">IL </w:t>
      </w:r>
      <w:r w:rsidR="00440E33" w:rsidRPr="00DD4DBE">
        <w:rPr>
          <w:rFonts w:ascii="Arial" w:hAnsi="Arial" w:cs="Arial"/>
          <w:b/>
          <w:bCs/>
          <w:u w:val="single"/>
        </w:rPr>
        <w:t xml:space="preserve">PAGAMENTO </w:t>
      </w:r>
      <w:r w:rsidR="00884E17" w:rsidRPr="00DD4DBE">
        <w:rPr>
          <w:rFonts w:ascii="Arial" w:hAnsi="Arial" w:cs="Arial"/>
          <w:b/>
          <w:bCs/>
          <w:u w:val="single"/>
        </w:rPr>
        <w:t xml:space="preserve">DELLA </w:t>
      </w:r>
      <w:r w:rsidR="00440E33" w:rsidRPr="00DD4DBE">
        <w:rPr>
          <w:rFonts w:ascii="Arial" w:hAnsi="Arial" w:cs="Arial"/>
          <w:b/>
          <w:bCs/>
          <w:u w:val="single"/>
        </w:rPr>
        <w:t xml:space="preserve">TASSA </w:t>
      </w:r>
    </w:p>
    <w:p w:rsidR="00B055BC" w:rsidRPr="0077701A" w:rsidRDefault="00884E17" w:rsidP="0077701A">
      <w:pPr>
        <w:pStyle w:val="NormaleWeb"/>
        <w:jc w:val="center"/>
        <w:rPr>
          <w:rFonts w:ascii="Arial" w:hAnsi="Arial" w:cs="Arial"/>
          <w:b/>
          <w:bCs/>
          <w:u w:val="single"/>
        </w:rPr>
      </w:pPr>
      <w:r w:rsidRPr="00DD4DBE">
        <w:rPr>
          <w:rFonts w:ascii="Arial" w:hAnsi="Arial" w:cs="Arial"/>
          <w:b/>
          <w:bCs/>
          <w:u w:val="single"/>
        </w:rPr>
        <w:t xml:space="preserve">A FAVORE DELL’AVCP </w:t>
      </w:r>
      <w:r w:rsidR="00440E33" w:rsidRPr="00DD4DBE">
        <w:rPr>
          <w:rFonts w:ascii="Arial" w:hAnsi="Arial" w:cs="Arial"/>
          <w:b/>
          <w:bCs/>
          <w:u w:val="single"/>
        </w:rPr>
        <w:t>DA PARTE</w:t>
      </w:r>
      <w:r w:rsidRPr="00DD4DBE">
        <w:rPr>
          <w:rFonts w:ascii="Arial" w:hAnsi="Arial" w:cs="Arial"/>
          <w:b/>
          <w:bCs/>
          <w:u w:val="single"/>
        </w:rPr>
        <w:t xml:space="preserve"> DEGLI</w:t>
      </w:r>
      <w:r w:rsidR="00440E33" w:rsidRPr="00DD4DBE">
        <w:rPr>
          <w:rFonts w:ascii="Arial" w:hAnsi="Arial" w:cs="Arial"/>
          <w:b/>
          <w:bCs/>
          <w:u w:val="single"/>
        </w:rPr>
        <w:t xml:space="preserve"> OPERATORI ECONOMICI</w:t>
      </w:r>
    </w:p>
    <w:p w:rsidR="00B055BC" w:rsidRPr="00546A70" w:rsidRDefault="0077701A" w:rsidP="00546A70">
      <w:pPr>
        <w:shd w:val="clear" w:color="auto" w:fill="F9F9F9"/>
        <w:spacing w:before="100" w:beforeAutospacing="1" w:after="100" w:afterAutospacing="1"/>
        <w:jc w:val="both"/>
        <w:rPr>
          <w:rFonts w:ascii="Arial" w:hAnsi="Arial" w:cs="Arial"/>
          <w:iCs/>
          <w:sz w:val="24"/>
          <w:szCs w:val="24"/>
        </w:rPr>
      </w:pPr>
      <w:r w:rsidRPr="00546A70">
        <w:rPr>
          <w:rFonts w:ascii="Arial" w:hAnsi="Arial" w:cs="Arial"/>
          <w:iCs/>
          <w:sz w:val="24"/>
          <w:szCs w:val="24"/>
        </w:rPr>
        <w:t>G</w:t>
      </w:r>
      <w:r w:rsidR="00B055BC" w:rsidRPr="00546A70">
        <w:rPr>
          <w:rFonts w:ascii="Arial" w:hAnsi="Arial" w:cs="Arial"/>
          <w:iCs/>
          <w:sz w:val="24"/>
          <w:szCs w:val="24"/>
        </w:rPr>
        <w:t>li operatori economici, nazion</w:t>
      </w:r>
      <w:r w:rsidR="00B055BC" w:rsidRPr="00546A70">
        <w:rPr>
          <w:rFonts w:ascii="Arial" w:hAnsi="Arial" w:cs="Arial"/>
          <w:iCs/>
          <w:sz w:val="24"/>
          <w:szCs w:val="24"/>
        </w:rPr>
        <w:t xml:space="preserve">ali  e  esteri,  che  intendano </w:t>
      </w:r>
      <w:r w:rsidR="00B055BC" w:rsidRPr="00546A70">
        <w:rPr>
          <w:rFonts w:ascii="Arial" w:hAnsi="Arial" w:cs="Arial"/>
          <w:iCs/>
          <w:sz w:val="24"/>
          <w:szCs w:val="24"/>
        </w:rPr>
        <w:t xml:space="preserve">partecipare  a  procedure  di  scelta  del  </w:t>
      </w:r>
      <w:r w:rsidRPr="00546A70">
        <w:rPr>
          <w:rFonts w:ascii="Arial" w:hAnsi="Arial" w:cs="Arial"/>
          <w:iCs/>
          <w:sz w:val="24"/>
          <w:szCs w:val="24"/>
        </w:rPr>
        <w:t>contraente  attivate  da stazioni appaltanti ed enti aggiudicatori  di  cui  agli articoli 32 e 207 del decreto legislativo 12  aprile  2006,  n.  163, sono  obbligati  alla  contribuzione  a  favore  dell’Autorità, nell’entità e con le modalità previste dal presente  provvedimento</w:t>
      </w:r>
      <w:r w:rsidR="00F8227D" w:rsidRPr="00546A70">
        <w:rPr>
          <w:rFonts w:ascii="Arial" w:hAnsi="Arial" w:cs="Arial"/>
          <w:iCs/>
          <w:sz w:val="24"/>
          <w:szCs w:val="24"/>
        </w:rPr>
        <w:t>. Tali s</w:t>
      </w:r>
      <w:r w:rsidR="00F8227D" w:rsidRPr="00546A70">
        <w:rPr>
          <w:rFonts w:ascii="Arial" w:hAnsi="Arial" w:cs="Arial"/>
          <w:iCs/>
          <w:sz w:val="24"/>
          <w:szCs w:val="24"/>
        </w:rPr>
        <w:t xml:space="preserve">oggetti </w:t>
      </w:r>
      <w:r w:rsidR="00F8227D" w:rsidRPr="00546A70">
        <w:rPr>
          <w:rFonts w:ascii="Arial" w:hAnsi="Arial" w:cs="Arial"/>
          <w:iCs/>
          <w:sz w:val="24"/>
          <w:szCs w:val="24"/>
        </w:rPr>
        <w:t xml:space="preserve">sono tenuti a </w:t>
      </w:r>
      <w:r w:rsidR="00F8227D" w:rsidRPr="00546A70">
        <w:rPr>
          <w:rFonts w:ascii="Arial" w:hAnsi="Arial" w:cs="Arial"/>
          <w:iCs/>
          <w:sz w:val="24"/>
          <w:szCs w:val="24"/>
        </w:rPr>
        <w:t xml:space="preserve">versare a favore </w:t>
      </w:r>
      <w:r w:rsidR="00F8227D" w:rsidRPr="00546A70">
        <w:rPr>
          <w:rFonts w:ascii="Arial" w:hAnsi="Arial" w:cs="Arial"/>
          <w:iCs/>
          <w:sz w:val="24"/>
          <w:szCs w:val="24"/>
        </w:rPr>
        <w:t xml:space="preserve">dell’Autorità i seguenti  contributi  in </w:t>
      </w:r>
      <w:r w:rsidR="00F8227D" w:rsidRPr="00546A70">
        <w:rPr>
          <w:rFonts w:ascii="Arial" w:hAnsi="Arial" w:cs="Arial"/>
          <w:iCs/>
          <w:sz w:val="24"/>
          <w:szCs w:val="24"/>
        </w:rPr>
        <w:t>relazione all'importo posto a base di gara:</w:t>
      </w:r>
    </w:p>
    <w:p w:rsidR="008F4E1B" w:rsidRDefault="00ED78CC" w:rsidP="00B055BC">
      <w:pPr>
        <w:rPr>
          <w:rFonts w:ascii="Arial" w:hAnsi="Arial" w:cs="Arial"/>
          <w:iCs/>
          <w:sz w:val="24"/>
          <w:szCs w:val="24"/>
        </w:rPr>
      </w:pPr>
      <w:r w:rsidRPr="00DD4DBE">
        <w:rPr>
          <w:rFonts w:ascii="Arial" w:hAnsi="Arial" w:cs="Arial"/>
          <w:iCs/>
          <w:sz w:val="24"/>
          <w:szCs w:val="24"/>
        </w:rPr>
        <w:br/>
      </w:r>
      <w:r w:rsidR="00B055BC">
        <w:rPr>
          <w:noProof/>
        </w:rPr>
        <w:drawing>
          <wp:inline distT="0" distB="0" distL="0" distR="0" wp14:anchorId="11A698EE" wp14:editId="3F458E85">
            <wp:extent cx="5743575" cy="4895850"/>
            <wp:effectExtent l="0" t="0" r="952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743575" cy="4895850"/>
                    </a:xfrm>
                    <a:prstGeom prst="rect">
                      <a:avLst/>
                    </a:prstGeom>
                  </pic:spPr>
                </pic:pic>
              </a:graphicData>
            </a:graphic>
          </wp:inline>
        </w:drawing>
      </w:r>
    </w:p>
    <w:p w:rsidR="00546A70" w:rsidRPr="00B055BC" w:rsidRDefault="00546A70" w:rsidP="00B055BC">
      <w:pPr>
        <w:rPr>
          <w:rFonts w:ascii="Arial" w:hAnsi="Arial" w:cs="Arial"/>
          <w:iCs/>
          <w:sz w:val="24"/>
          <w:szCs w:val="24"/>
        </w:rPr>
      </w:pPr>
    </w:p>
    <w:p w:rsidR="00DD4DBE" w:rsidRPr="00DD4DBE" w:rsidRDefault="00533168" w:rsidP="00DD4DBE">
      <w:pPr>
        <w:shd w:val="clear" w:color="auto" w:fill="F9F9F9"/>
        <w:spacing w:before="100" w:beforeAutospacing="1" w:after="100" w:afterAutospacing="1"/>
        <w:jc w:val="both"/>
        <w:rPr>
          <w:rFonts w:ascii="Arial" w:hAnsi="Arial" w:cs="Arial"/>
          <w:iCs/>
          <w:sz w:val="24"/>
          <w:szCs w:val="24"/>
        </w:rPr>
      </w:pPr>
      <w:r w:rsidRPr="00DD4DBE">
        <w:rPr>
          <w:rFonts w:ascii="Arial" w:hAnsi="Arial" w:cs="Arial"/>
          <w:iCs/>
          <w:sz w:val="24"/>
          <w:szCs w:val="24"/>
        </w:rPr>
        <w:t xml:space="preserve">Gli </w:t>
      </w:r>
      <w:r w:rsidR="00DD4DBE" w:rsidRPr="00DD4DBE">
        <w:rPr>
          <w:rFonts w:ascii="Arial" w:hAnsi="Arial" w:cs="Arial"/>
          <w:iCs/>
          <w:sz w:val="24"/>
          <w:szCs w:val="24"/>
        </w:rPr>
        <w:t>O</w:t>
      </w:r>
      <w:r w:rsidRPr="00DD4DBE">
        <w:rPr>
          <w:rFonts w:ascii="Arial" w:hAnsi="Arial" w:cs="Arial"/>
          <w:iCs/>
          <w:sz w:val="24"/>
          <w:szCs w:val="24"/>
        </w:rPr>
        <w:t xml:space="preserve">peratori economici devono versare la contribuzione, nella misura prevista dall’art. </w:t>
      </w:r>
      <w:r w:rsidR="00546A70">
        <w:rPr>
          <w:rFonts w:ascii="Arial" w:hAnsi="Arial" w:cs="Arial"/>
          <w:iCs/>
          <w:sz w:val="24"/>
          <w:szCs w:val="24"/>
        </w:rPr>
        <w:t>2</w:t>
      </w:r>
      <w:r w:rsidRPr="00DD4DBE">
        <w:rPr>
          <w:rFonts w:ascii="Arial" w:hAnsi="Arial" w:cs="Arial"/>
          <w:iCs/>
          <w:sz w:val="24"/>
          <w:szCs w:val="24"/>
        </w:rPr>
        <w:t xml:space="preserve"> della </w:t>
      </w:r>
      <w:r w:rsidR="00DD4DBE">
        <w:rPr>
          <w:rFonts w:ascii="Arial" w:hAnsi="Arial" w:cs="Arial"/>
          <w:iCs/>
          <w:sz w:val="24"/>
          <w:szCs w:val="24"/>
        </w:rPr>
        <w:t>D</w:t>
      </w:r>
      <w:r w:rsidRPr="00DD4DBE">
        <w:rPr>
          <w:rFonts w:ascii="Arial" w:hAnsi="Arial" w:cs="Arial"/>
          <w:iCs/>
          <w:sz w:val="24"/>
          <w:szCs w:val="24"/>
        </w:rPr>
        <w:t xml:space="preserve">eliberazione </w:t>
      </w:r>
      <w:r w:rsidR="00546A70" w:rsidRPr="00546A70">
        <w:rPr>
          <w:rFonts w:ascii="Arial" w:hAnsi="Arial" w:cs="Arial"/>
          <w:iCs/>
          <w:sz w:val="24"/>
          <w:szCs w:val="24"/>
        </w:rPr>
        <w:t>21 dicembre 2011</w:t>
      </w:r>
      <w:r w:rsidRPr="00DD4DBE">
        <w:rPr>
          <w:rFonts w:ascii="Arial" w:hAnsi="Arial" w:cs="Arial"/>
          <w:iCs/>
          <w:sz w:val="24"/>
          <w:szCs w:val="24"/>
        </w:rPr>
        <w:t>, per ogni singolo lotto a cui intendono partecipare, entro la data di scadenza per la presentazione delle offerte prevista dall’avviso pubblico, dalla lettera di invito ovvero dalla richiesta di offerta comunque denominata.</w:t>
      </w:r>
      <w:r w:rsidR="00DD4DBE" w:rsidRPr="00DD4DBE">
        <w:rPr>
          <w:rFonts w:ascii="Arial" w:hAnsi="Arial" w:cs="Arial"/>
          <w:iCs/>
          <w:sz w:val="24"/>
          <w:szCs w:val="24"/>
        </w:rPr>
        <w:t xml:space="preserve"> </w:t>
      </w:r>
      <w:r w:rsidR="00546A70" w:rsidRPr="00546A70">
        <w:rPr>
          <w:rFonts w:ascii="Arial" w:hAnsi="Arial" w:cs="Arial"/>
          <w:iCs/>
          <w:sz w:val="24"/>
          <w:szCs w:val="24"/>
        </w:rPr>
        <w:t xml:space="preserve">Essi sono tenuti a dimostrare, al momento della presentazione  dell'offerta,  di  avere  versato  la somma dovuta a titolo  di  contribuzione.  </w:t>
      </w:r>
      <w:r w:rsidR="00DD4DBE" w:rsidRPr="00DD4DBE">
        <w:rPr>
          <w:rFonts w:ascii="Arial" w:hAnsi="Arial" w:cs="Arial"/>
          <w:iCs/>
          <w:sz w:val="24"/>
          <w:szCs w:val="24"/>
        </w:rPr>
        <w:t xml:space="preserve">Si ricorda che la mancata dimostrazione dell’avvenuto versamento del contributo dovuto </w:t>
      </w:r>
      <w:r w:rsidR="00DD4DBE" w:rsidRPr="00DD4DBE">
        <w:rPr>
          <w:rFonts w:ascii="Arial" w:hAnsi="Arial" w:cs="Arial"/>
          <w:b/>
          <w:iCs/>
          <w:sz w:val="24"/>
          <w:szCs w:val="24"/>
          <w:u w:val="single"/>
        </w:rPr>
        <w:t>è caus</w:t>
      </w:r>
      <w:bookmarkStart w:id="0" w:name="_GoBack"/>
      <w:bookmarkEnd w:id="0"/>
      <w:r w:rsidR="00DD4DBE" w:rsidRPr="00DD4DBE">
        <w:rPr>
          <w:rFonts w:ascii="Arial" w:hAnsi="Arial" w:cs="Arial"/>
          <w:b/>
          <w:iCs/>
          <w:sz w:val="24"/>
          <w:szCs w:val="24"/>
          <w:u w:val="single"/>
        </w:rPr>
        <w:t xml:space="preserve">a di esclusione dalla procedura </w:t>
      </w:r>
      <w:r w:rsidR="00DD4DBE" w:rsidRPr="00DD4DBE">
        <w:rPr>
          <w:rFonts w:ascii="Arial" w:hAnsi="Arial" w:cs="Arial"/>
          <w:b/>
          <w:iCs/>
          <w:sz w:val="24"/>
          <w:szCs w:val="24"/>
          <w:u w:val="single"/>
        </w:rPr>
        <w:lastRenderedPageBreak/>
        <w:t>di scelta del contraente</w:t>
      </w:r>
      <w:r w:rsidR="00DD4DBE" w:rsidRPr="00DD4DBE">
        <w:rPr>
          <w:rFonts w:ascii="Arial" w:hAnsi="Arial" w:cs="Arial"/>
          <w:iCs/>
          <w:sz w:val="24"/>
          <w:szCs w:val="24"/>
        </w:rPr>
        <w:t xml:space="preserve"> ai sensi dell’art. 1, comma 67 della legge 23 dicembre 2005, n. 266.</w:t>
      </w:r>
    </w:p>
    <w:p w:rsidR="00533168" w:rsidRPr="00DD4DBE" w:rsidRDefault="00533168" w:rsidP="00533168">
      <w:pPr>
        <w:shd w:val="clear" w:color="auto" w:fill="F9F9F9"/>
        <w:spacing w:before="100" w:beforeAutospacing="1" w:after="100" w:afterAutospacing="1"/>
        <w:jc w:val="both"/>
        <w:rPr>
          <w:rFonts w:ascii="Arial" w:hAnsi="Arial" w:cs="Arial"/>
          <w:iCs/>
          <w:sz w:val="24"/>
          <w:szCs w:val="24"/>
        </w:rPr>
      </w:pPr>
      <w:r w:rsidRPr="00DD4DBE">
        <w:rPr>
          <w:rFonts w:ascii="Arial" w:hAnsi="Arial" w:cs="Arial"/>
          <w:iCs/>
          <w:sz w:val="24"/>
          <w:szCs w:val="24"/>
        </w:rPr>
        <w:t>Per eseguire il pagamento, indipendentemente dalla modalità di versamento utilizzata, sarà comunque necessario iscriversi on line al “</w:t>
      </w:r>
      <w:r w:rsidRPr="00DD4DBE">
        <w:rPr>
          <w:rFonts w:ascii="Arial" w:hAnsi="Arial" w:cs="Arial"/>
          <w:b/>
          <w:iCs/>
          <w:sz w:val="24"/>
          <w:szCs w:val="24"/>
        </w:rPr>
        <w:t>Servizio di Riscossione</w:t>
      </w:r>
      <w:r w:rsidRPr="00DD4DBE">
        <w:rPr>
          <w:rFonts w:ascii="Arial" w:hAnsi="Arial" w:cs="Arial"/>
          <w:iCs/>
          <w:sz w:val="24"/>
          <w:szCs w:val="24"/>
        </w:rPr>
        <w:t xml:space="preserve">” raggiungibile all’indirizzo </w:t>
      </w:r>
      <w:r w:rsidRPr="00DD4DBE">
        <w:rPr>
          <w:rFonts w:ascii="Arial" w:hAnsi="Arial" w:cs="Arial"/>
          <w:b/>
          <w:iCs/>
          <w:sz w:val="24"/>
          <w:szCs w:val="24"/>
        </w:rPr>
        <w:t>http://contributi.avcp.it</w:t>
      </w:r>
      <w:r w:rsidRPr="00DD4DBE">
        <w:rPr>
          <w:rFonts w:ascii="Arial" w:hAnsi="Arial" w:cs="Arial"/>
          <w:iCs/>
          <w:sz w:val="24"/>
          <w:szCs w:val="24"/>
        </w:rPr>
        <w:t>.</w:t>
      </w:r>
    </w:p>
    <w:p w:rsidR="00533168" w:rsidRPr="00DD4DBE" w:rsidRDefault="00533168" w:rsidP="00533168">
      <w:pPr>
        <w:shd w:val="clear" w:color="auto" w:fill="F9F9F9"/>
        <w:spacing w:before="100" w:beforeAutospacing="1" w:after="100" w:afterAutospacing="1"/>
        <w:jc w:val="both"/>
        <w:rPr>
          <w:rFonts w:ascii="Arial" w:hAnsi="Arial" w:cs="Arial"/>
          <w:iCs/>
          <w:sz w:val="24"/>
          <w:szCs w:val="24"/>
        </w:rPr>
      </w:pPr>
      <w:r w:rsidRPr="00DD4DBE">
        <w:rPr>
          <w:rFonts w:ascii="Arial" w:hAnsi="Arial" w:cs="Arial"/>
          <w:iCs/>
          <w:sz w:val="24"/>
          <w:szCs w:val="24"/>
        </w:rPr>
        <w:t>L’utente iscritto per conto dell’</w:t>
      </w:r>
      <w:r w:rsidR="00DD4DBE" w:rsidRPr="00DD4DBE">
        <w:rPr>
          <w:rFonts w:ascii="Arial" w:hAnsi="Arial" w:cs="Arial"/>
          <w:iCs/>
          <w:sz w:val="24"/>
          <w:szCs w:val="24"/>
        </w:rPr>
        <w:t>O</w:t>
      </w:r>
      <w:r w:rsidRPr="00DD4DBE">
        <w:rPr>
          <w:rFonts w:ascii="Arial" w:hAnsi="Arial" w:cs="Arial"/>
          <w:iCs/>
          <w:sz w:val="24"/>
          <w:szCs w:val="24"/>
        </w:rPr>
        <w:t>peratore economico dovrà collegarsi al servizio con le credenziali da questo rilasciate e inserire il codice CIG che identifica la procedura alla quale l’operatore economico rappresentato intende partecipare. Il sistema consentirà il pagamento diretto mediante carta di credito oppure la produzione di un modello da presentare a uno dei punti vendita Lottomatica Servizi, abilitati a ricevere il pagamento. Pertanto sono consentite le seguenti modalità di pagamento della contribuzione:</w:t>
      </w:r>
    </w:p>
    <w:p w:rsidR="00533168" w:rsidRPr="00DD4DBE" w:rsidRDefault="00533168" w:rsidP="00533168">
      <w:pPr>
        <w:pStyle w:val="Paragrafoelenco"/>
        <w:numPr>
          <w:ilvl w:val="0"/>
          <w:numId w:val="3"/>
        </w:numPr>
        <w:shd w:val="clear" w:color="auto" w:fill="F9F9F9"/>
        <w:spacing w:before="100" w:beforeAutospacing="1" w:after="100" w:afterAutospacing="1"/>
        <w:jc w:val="both"/>
        <w:rPr>
          <w:rFonts w:ascii="Arial" w:hAnsi="Arial" w:cs="Arial"/>
          <w:iCs/>
          <w:sz w:val="24"/>
          <w:szCs w:val="24"/>
        </w:rPr>
      </w:pPr>
      <w:r w:rsidRPr="00DD4DBE">
        <w:rPr>
          <w:rFonts w:ascii="Arial" w:hAnsi="Arial" w:cs="Arial"/>
          <w:b/>
          <w:i/>
          <w:iCs/>
          <w:sz w:val="28"/>
          <w:szCs w:val="24"/>
        </w:rPr>
        <w:t>online</w:t>
      </w:r>
      <w:r w:rsidRPr="00DD4DBE">
        <w:rPr>
          <w:rFonts w:ascii="Arial" w:hAnsi="Arial" w:cs="Arial"/>
          <w:iCs/>
          <w:sz w:val="24"/>
          <w:szCs w:val="24"/>
        </w:rPr>
        <w:t xml:space="preserve"> mediante carta di credito dei circuiti Visa, MasterCard, </w:t>
      </w:r>
      <w:proofErr w:type="spellStart"/>
      <w:r w:rsidRPr="00DD4DBE">
        <w:rPr>
          <w:rFonts w:ascii="Arial" w:hAnsi="Arial" w:cs="Arial"/>
          <w:iCs/>
          <w:sz w:val="24"/>
          <w:szCs w:val="24"/>
        </w:rPr>
        <w:t>Diners</w:t>
      </w:r>
      <w:proofErr w:type="spellEnd"/>
      <w:r w:rsidRPr="00DD4DBE">
        <w:rPr>
          <w:rFonts w:ascii="Arial" w:hAnsi="Arial" w:cs="Arial"/>
          <w:iCs/>
          <w:sz w:val="24"/>
          <w:szCs w:val="24"/>
        </w:rPr>
        <w:t>, American Express. Per eseguire il pagamento sarà necessario collegarsi al “Servizio Riscossione” e seguire le istruzioni a video. A riprova dell'avvenuto pagamento, l’utente otterrà la ricevuta di pagamento, da stampare e allegare all’offerta, all’indirizzo di posta elettronica indicato in sede di iscrizione. La ricevuta potrà inoltre essere stampata in qualunque momento accedendo alla lista dei “pagamenti effettuati” disponibile on line sul “Servizio di Riscossione”;</w:t>
      </w:r>
    </w:p>
    <w:p w:rsidR="00533168" w:rsidRPr="00DD4DBE" w:rsidRDefault="00533168" w:rsidP="00533168">
      <w:pPr>
        <w:pStyle w:val="Paragrafoelenco"/>
        <w:numPr>
          <w:ilvl w:val="0"/>
          <w:numId w:val="3"/>
        </w:numPr>
        <w:shd w:val="clear" w:color="auto" w:fill="F9F9F9"/>
        <w:spacing w:before="100" w:beforeAutospacing="1" w:after="100" w:afterAutospacing="1"/>
        <w:jc w:val="both"/>
        <w:rPr>
          <w:rFonts w:ascii="Arial" w:hAnsi="Arial" w:cs="Arial"/>
          <w:iCs/>
          <w:sz w:val="24"/>
          <w:szCs w:val="24"/>
        </w:rPr>
      </w:pPr>
      <w:r w:rsidRPr="00DD4DBE">
        <w:rPr>
          <w:rFonts w:ascii="Arial" w:hAnsi="Arial" w:cs="Arial"/>
          <w:b/>
          <w:i/>
          <w:iCs/>
          <w:sz w:val="28"/>
          <w:szCs w:val="24"/>
        </w:rPr>
        <w:t>in contanti</w:t>
      </w:r>
      <w:r w:rsidRPr="00DD4DBE">
        <w:rPr>
          <w:rFonts w:ascii="Arial" w:hAnsi="Arial" w:cs="Arial"/>
          <w:iCs/>
          <w:sz w:val="24"/>
          <w:szCs w:val="24"/>
        </w:rPr>
        <w:t>, muniti del modello di pagamento rilasciato dal Servizio di riscossione, presso tutti i punti vendita della rete dei tabaccai lottisti abilitati al pagamento di bollette e bollettini.</w:t>
      </w:r>
      <w:r w:rsidR="00DD4DBE">
        <w:rPr>
          <w:rFonts w:ascii="Arial" w:hAnsi="Arial" w:cs="Arial"/>
          <w:iCs/>
          <w:sz w:val="24"/>
          <w:szCs w:val="24"/>
        </w:rPr>
        <w:t xml:space="preserve"> </w:t>
      </w:r>
      <w:r w:rsidRPr="00DD4DBE">
        <w:rPr>
          <w:rFonts w:ascii="Arial" w:hAnsi="Arial" w:cs="Arial"/>
          <w:iCs/>
          <w:sz w:val="24"/>
          <w:szCs w:val="24"/>
        </w:rPr>
        <w:t xml:space="preserve">All’indirizzo </w:t>
      </w:r>
      <w:r w:rsidRPr="00DD4DBE">
        <w:rPr>
          <w:rFonts w:ascii="Arial" w:hAnsi="Arial" w:cs="Arial"/>
          <w:i/>
          <w:iCs/>
          <w:u w:val="single"/>
        </w:rPr>
        <w:t>https://www.lottomaticaitalia.it/servizi/homepage.html</w:t>
      </w:r>
      <w:r w:rsidRPr="00DD4DBE">
        <w:rPr>
          <w:rFonts w:ascii="Arial" w:hAnsi="Arial" w:cs="Arial"/>
          <w:iCs/>
          <w:sz w:val="24"/>
          <w:szCs w:val="24"/>
        </w:rPr>
        <w:t xml:space="preserve"> è disponibile la funzione “Cerca il punto vendita più vicino a te”. Lo scontrino rilasciato dal punto vendita dovrà essere allegato in originale all’offerta. </w:t>
      </w:r>
    </w:p>
    <w:p w:rsidR="00533168" w:rsidRPr="00DD4DBE" w:rsidRDefault="00533168" w:rsidP="00574A2C">
      <w:pPr>
        <w:pStyle w:val="Paragrafoelenco"/>
        <w:numPr>
          <w:ilvl w:val="0"/>
          <w:numId w:val="3"/>
        </w:numPr>
        <w:shd w:val="clear" w:color="auto" w:fill="F9F9F9"/>
        <w:spacing w:before="100" w:beforeAutospacing="1" w:after="100" w:afterAutospacing="1"/>
        <w:jc w:val="both"/>
        <w:rPr>
          <w:rFonts w:ascii="Arial" w:hAnsi="Arial" w:cs="Arial"/>
          <w:iCs/>
          <w:sz w:val="24"/>
          <w:szCs w:val="24"/>
        </w:rPr>
      </w:pPr>
      <w:r w:rsidRPr="00DD4DBE">
        <w:rPr>
          <w:rFonts w:ascii="Arial" w:hAnsi="Arial" w:cs="Arial"/>
          <w:iCs/>
          <w:sz w:val="24"/>
          <w:szCs w:val="24"/>
        </w:rPr>
        <w:t xml:space="preserve">Per i soli </w:t>
      </w:r>
      <w:r w:rsidR="00DD4DBE" w:rsidRPr="00DD4DBE">
        <w:rPr>
          <w:rFonts w:ascii="Arial" w:hAnsi="Arial" w:cs="Arial"/>
          <w:b/>
          <w:iCs/>
          <w:sz w:val="24"/>
          <w:szCs w:val="24"/>
        </w:rPr>
        <w:t>O</w:t>
      </w:r>
      <w:r w:rsidRPr="00DD4DBE">
        <w:rPr>
          <w:rFonts w:ascii="Arial" w:hAnsi="Arial" w:cs="Arial"/>
          <w:b/>
          <w:iCs/>
          <w:sz w:val="24"/>
          <w:szCs w:val="24"/>
        </w:rPr>
        <w:t>peratori economici esteri</w:t>
      </w:r>
      <w:r w:rsidRPr="00DD4DBE">
        <w:rPr>
          <w:rFonts w:ascii="Arial" w:hAnsi="Arial" w:cs="Arial"/>
          <w:iCs/>
          <w:sz w:val="24"/>
          <w:szCs w:val="24"/>
        </w:rPr>
        <w:t>, è possibile effettuare il pagamento anche tramite bonifico bancario internazionale, sul conto corrente bancario n. 4806788, aperto presso il Monte dei Paschi di Siena (IBAN: IT 77 O 01030 03200 0000 04806788), (BIC: PASCITMMROM) intestato all'Autorità per la vigilanza sui contratti pubblici di lavori, servizi e forniture. La causale del versamento deve riportare esclusivamente il codice identificativo ai fini fiscali utilizzato nel Paese di residenza o di sede del partecipante e il codice CIG che identifica la procedura alla quale si intende partecipare</w:t>
      </w:r>
    </w:p>
    <w:sectPr w:rsidR="00533168" w:rsidRPr="00DD4DBE" w:rsidSect="00440E33">
      <w:pgSz w:w="11906" w:h="16838"/>
      <w:pgMar w:top="426"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06A5D"/>
    <w:multiLevelType w:val="hybridMultilevel"/>
    <w:tmpl w:val="C574A96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4A0724F7"/>
    <w:multiLevelType w:val="hybridMultilevel"/>
    <w:tmpl w:val="BE6CC6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6F7D5221"/>
    <w:multiLevelType w:val="multilevel"/>
    <w:tmpl w:val="88187626"/>
    <w:lvl w:ilvl="0">
      <w:start w:val="1"/>
      <w:numFmt w:val="decimal"/>
      <w:lvlText w:val="%1."/>
      <w:lvlJc w:val="left"/>
      <w:pPr>
        <w:tabs>
          <w:tab w:val="num" w:pos="720"/>
        </w:tabs>
        <w:ind w:left="720" w:hanging="360"/>
      </w:pPr>
      <w:rPr>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E33"/>
    <w:rsid w:val="00245DD0"/>
    <w:rsid w:val="002E17C5"/>
    <w:rsid w:val="003D73ED"/>
    <w:rsid w:val="00440E33"/>
    <w:rsid w:val="00533168"/>
    <w:rsid w:val="00546A70"/>
    <w:rsid w:val="00551271"/>
    <w:rsid w:val="00574A2C"/>
    <w:rsid w:val="005A4FF3"/>
    <w:rsid w:val="00704515"/>
    <w:rsid w:val="0077701A"/>
    <w:rsid w:val="007F7EE0"/>
    <w:rsid w:val="00832D24"/>
    <w:rsid w:val="00884E17"/>
    <w:rsid w:val="008F4E1B"/>
    <w:rsid w:val="00B055BC"/>
    <w:rsid w:val="00C41EC9"/>
    <w:rsid w:val="00CF461A"/>
    <w:rsid w:val="00DD4DBE"/>
    <w:rsid w:val="00ED78CC"/>
    <w:rsid w:val="00EE081F"/>
    <w:rsid w:val="00EF1817"/>
    <w:rsid w:val="00F8227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40E33"/>
    <w:pPr>
      <w:spacing w:after="0" w:line="240" w:lineRule="auto"/>
    </w:pPr>
    <w:rPr>
      <w:rFonts w:ascii="Calibri" w:hAnsi="Calibri" w:cs="Times New Roman"/>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440E33"/>
    <w:rPr>
      <w:color w:val="0000FF"/>
      <w:u w:val="single"/>
    </w:rPr>
  </w:style>
  <w:style w:type="paragraph" w:styleId="NormaleWeb">
    <w:name w:val="Normal (Web)"/>
    <w:basedOn w:val="Normale"/>
    <w:uiPriority w:val="99"/>
    <w:unhideWhenUsed/>
    <w:rsid w:val="00440E33"/>
    <w:pPr>
      <w:spacing w:before="100" w:beforeAutospacing="1" w:after="100" w:afterAutospacing="1"/>
    </w:pPr>
    <w:rPr>
      <w:rFonts w:ascii="Times New Roman" w:hAnsi="Times New Roman"/>
      <w:sz w:val="24"/>
      <w:szCs w:val="24"/>
    </w:rPr>
  </w:style>
  <w:style w:type="paragraph" w:styleId="Paragrafoelenco">
    <w:name w:val="List Paragraph"/>
    <w:basedOn w:val="Normale"/>
    <w:uiPriority w:val="34"/>
    <w:qFormat/>
    <w:rsid w:val="00440E33"/>
    <w:pPr>
      <w:spacing w:after="200" w:line="276" w:lineRule="auto"/>
      <w:ind w:left="720"/>
    </w:pPr>
  </w:style>
  <w:style w:type="character" w:styleId="Enfasigrassetto">
    <w:name w:val="Strong"/>
    <w:basedOn w:val="Carpredefinitoparagrafo"/>
    <w:uiPriority w:val="22"/>
    <w:qFormat/>
    <w:rsid w:val="00ED78CC"/>
    <w:rPr>
      <w:b/>
      <w:bCs/>
    </w:rPr>
  </w:style>
  <w:style w:type="character" w:customStyle="1" w:styleId="apple-converted-space">
    <w:name w:val="apple-converted-space"/>
    <w:basedOn w:val="Carpredefinitoparagrafo"/>
    <w:rsid w:val="00ED78CC"/>
  </w:style>
  <w:style w:type="paragraph" w:styleId="Testofumetto">
    <w:name w:val="Balloon Text"/>
    <w:basedOn w:val="Normale"/>
    <w:link w:val="TestofumettoCarattere"/>
    <w:uiPriority w:val="99"/>
    <w:semiHidden/>
    <w:unhideWhenUsed/>
    <w:rsid w:val="00ED78CC"/>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D78CC"/>
    <w:rPr>
      <w:rFonts w:ascii="Tahoma" w:hAnsi="Tahoma" w:cs="Tahoma"/>
      <w:sz w:val="16"/>
      <w:szCs w:val="16"/>
      <w:lang w:eastAsia="it-IT"/>
    </w:rPr>
  </w:style>
  <w:style w:type="character" w:styleId="Collegamentovisitato">
    <w:name w:val="FollowedHyperlink"/>
    <w:basedOn w:val="Carpredefinitoparagrafo"/>
    <w:uiPriority w:val="99"/>
    <w:semiHidden/>
    <w:unhideWhenUsed/>
    <w:rsid w:val="00533168"/>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40E33"/>
    <w:pPr>
      <w:spacing w:after="0" w:line="240" w:lineRule="auto"/>
    </w:pPr>
    <w:rPr>
      <w:rFonts w:ascii="Calibri" w:hAnsi="Calibri" w:cs="Times New Roman"/>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440E33"/>
    <w:rPr>
      <w:color w:val="0000FF"/>
      <w:u w:val="single"/>
    </w:rPr>
  </w:style>
  <w:style w:type="paragraph" w:styleId="NormaleWeb">
    <w:name w:val="Normal (Web)"/>
    <w:basedOn w:val="Normale"/>
    <w:uiPriority w:val="99"/>
    <w:unhideWhenUsed/>
    <w:rsid w:val="00440E33"/>
    <w:pPr>
      <w:spacing w:before="100" w:beforeAutospacing="1" w:after="100" w:afterAutospacing="1"/>
    </w:pPr>
    <w:rPr>
      <w:rFonts w:ascii="Times New Roman" w:hAnsi="Times New Roman"/>
      <w:sz w:val="24"/>
      <w:szCs w:val="24"/>
    </w:rPr>
  </w:style>
  <w:style w:type="paragraph" w:styleId="Paragrafoelenco">
    <w:name w:val="List Paragraph"/>
    <w:basedOn w:val="Normale"/>
    <w:uiPriority w:val="34"/>
    <w:qFormat/>
    <w:rsid w:val="00440E33"/>
    <w:pPr>
      <w:spacing w:after="200" w:line="276" w:lineRule="auto"/>
      <w:ind w:left="720"/>
    </w:pPr>
  </w:style>
  <w:style w:type="character" w:styleId="Enfasigrassetto">
    <w:name w:val="Strong"/>
    <w:basedOn w:val="Carpredefinitoparagrafo"/>
    <w:uiPriority w:val="22"/>
    <w:qFormat/>
    <w:rsid w:val="00ED78CC"/>
    <w:rPr>
      <w:b/>
      <w:bCs/>
    </w:rPr>
  </w:style>
  <w:style w:type="character" w:customStyle="1" w:styleId="apple-converted-space">
    <w:name w:val="apple-converted-space"/>
    <w:basedOn w:val="Carpredefinitoparagrafo"/>
    <w:rsid w:val="00ED78CC"/>
  </w:style>
  <w:style w:type="paragraph" w:styleId="Testofumetto">
    <w:name w:val="Balloon Text"/>
    <w:basedOn w:val="Normale"/>
    <w:link w:val="TestofumettoCarattere"/>
    <w:uiPriority w:val="99"/>
    <w:semiHidden/>
    <w:unhideWhenUsed/>
    <w:rsid w:val="00ED78CC"/>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D78CC"/>
    <w:rPr>
      <w:rFonts w:ascii="Tahoma" w:hAnsi="Tahoma" w:cs="Tahoma"/>
      <w:sz w:val="16"/>
      <w:szCs w:val="16"/>
      <w:lang w:eastAsia="it-IT"/>
    </w:rPr>
  </w:style>
  <w:style w:type="character" w:styleId="Collegamentovisitato">
    <w:name w:val="FollowedHyperlink"/>
    <w:basedOn w:val="Carpredefinitoparagrafo"/>
    <w:uiPriority w:val="99"/>
    <w:semiHidden/>
    <w:unhideWhenUsed/>
    <w:rsid w:val="0053316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042959">
      <w:bodyDiv w:val="1"/>
      <w:marLeft w:val="0"/>
      <w:marRight w:val="0"/>
      <w:marTop w:val="0"/>
      <w:marBottom w:val="0"/>
      <w:divBdr>
        <w:top w:val="none" w:sz="0" w:space="0" w:color="auto"/>
        <w:left w:val="none" w:sz="0" w:space="0" w:color="auto"/>
        <w:bottom w:val="none" w:sz="0" w:space="0" w:color="auto"/>
        <w:right w:val="none" w:sz="0" w:space="0" w:color="auto"/>
      </w:divBdr>
    </w:div>
    <w:div w:id="435174050">
      <w:bodyDiv w:val="1"/>
      <w:marLeft w:val="0"/>
      <w:marRight w:val="0"/>
      <w:marTop w:val="0"/>
      <w:marBottom w:val="0"/>
      <w:divBdr>
        <w:top w:val="none" w:sz="0" w:space="0" w:color="auto"/>
        <w:left w:val="none" w:sz="0" w:space="0" w:color="auto"/>
        <w:bottom w:val="none" w:sz="0" w:space="0" w:color="auto"/>
        <w:right w:val="none" w:sz="0" w:space="0" w:color="auto"/>
      </w:divBdr>
    </w:div>
    <w:div w:id="1289125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60D36651BA5F4AA19F537C8FCE3935" ma:contentTypeVersion="0" ma:contentTypeDescription="Create a new document." ma:contentTypeScope="" ma:versionID="76ce0f4061ffb9085ffc847131333c9c">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AA9E45B4-7CB8-451C-BB73-34194F148574}"/>
</file>

<file path=customXml/itemProps2.xml><?xml version="1.0" encoding="utf-8"?>
<ds:datastoreItem xmlns:ds="http://schemas.openxmlformats.org/officeDocument/2006/customXml" ds:itemID="{FBE31DE1-9AB8-46C9-80F7-FF6D01693818}"/>
</file>

<file path=customXml/itemProps3.xml><?xml version="1.0" encoding="utf-8"?>
<ds:datastoreItem xmlns:ds="http://schemas.openxmlformats.org/officeDocument/2006/customXml" ds:itemID="{85F3782C-591A-4D8A-8925-D63C61F81F34}"/>
</file>

<file path=docProps/app.xml><?xml version="1.0" encoding="utf-8"?>
<Properties xmlns="http://schemas.openxmlformats.org/officeDocument/2006/extended-properties" xmlns:vt="http://schemas.openxmlformats.org/officeDocument/2006/docPropsVTypes">
  <Template>Normal</Template>
  <TotalTime>17</TotalTime>
  <Pages>2</Pages>
  <Words>543</Words>
  <Characters>3096</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SOGIN</Company>
  <LinksUpToDate>false</LinksUpToDate>
  <CharactersWithSpaces>3632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a137188</dc:creator>
  <cp:lastModifiedBy>Tizio Angela</cp:lastModifiedBy>
  <cp:revision>4</cp:revision>
  <dcterms:created xsi:type="dcterms:W3CDTF">2012-02-08T09:12:00Z</dcterms:created>
  <dcterms:modified xsi:type="dcterms:W3CDTF">2012-02-08T09:29:00Z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3" name="_NewReviewCycle">
    <vt:lpwstr/>
  </property>
  <property fmtid="{D5CDD505-2E9C-101B-9397-08002B2CF9AE}" pid="7" name="ContentTypeId">
    <vt:lpwstr>0x010100C160D36651BA5F4AA19F537C8FCE3935</vt:lpwstr>
  </property>
  <property fmtid="{D5CDD505-2E9C-101B-9397-08002B2CF9AE}" pid="8" name="Order">
    <vt:r8>292200</vt:r8>
  </property>
  <property fmtid="{D5CDD505-2E9C-101B-9397-08002B2CF9AE}" pid="9" name="TemplateUrl">
    <vt:lpwstr/>
  </property>
  <property fmtid="{D5CDD505-2E9C-101B-9397-08002B2CF9AE}" pid="10" name="xd_ProgID">
    <vt:lpwstr/>
  </property>
  <property fmtid="{D5CDD505-2E9C-101B-9397-08002B2CF9AE}" pid="11" name="_SourceUrl">
    <vt:lpwstr/>
  </property>
  <property fmtid="{D5CDD505-2E9C-101B-9397-08002B2CF9AE}" pid="12" name="_SharedFileIndex">
    <vt:lpwstr/>
  </property>
  <property fmtid="{D5CDD505-2E9C-101B-9397-08002B2CF9AE}" pid="13" name="xd_Signature">
    <vt:bool>false</vt:bool>
  </property>
</Properties>
</file>